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center"/>
      </w:pPr>
      <w:r>
        <w:rPr/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/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/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/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Cs/>
          <w:sz w:val="20"/>
          <w:szCs w:val="20"/>
        </w:rPr>
        <w:t>Сведения о доходах, расходах,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Cs/>
          <w:sz w:val="20"/>
          <w:szCs w:val="20"/>
        </w:rPr>
        <w:t>об имуществе и обязательствах имущественного характера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Cs/>
          <w:sz w:val="20"/>
          <w:szCs w:val="20"/>
        </w:rPr>
        <w:t xml:space="preserve">за период с 1 января </w:t>
      </w:r>
      <w:r>
        <w:rPr>
          <w:rFonts w:ascii="Times New Roman" w:cs="Times New Roman" w:hAnsi="Times New Roman"/>
          <w:bCs/>
          <w:sz w:val="20"/>
          <w:szCs w:val="20"/>
          <w:u w:val="single"/>
        </w:rPr>
        <w:t>20</w:t>
      </w:r>
      <w:r>
        <w:rPr>
          <w:rFonts w:ascii="Times New Roman" w:cs="Times New Roman" w:hAnsi="Times New Roman"/>
          <w:bCs/>
          <w:sz w:val="20"/>
          <w:szCs w:val="20"/>
          <w:u w:val="single"/>
        </w:rPr>
        <w:t xml:space="preserve">14 </w:t>
      </w:r>
      <w:r>
        <w:rPr>
          <w:rFonts w:ascii="Times New Roman" w:cs="Times New Roman" w:hAnsi="Times New Roman"/>
          <w:bCs/>
          <w:sz w:val="20"/>
          <w:szCs w:val="20"/>
          <w:u w:val="none"/>
        </w:rPr>
        <w:t>г.</w:t>
      </w:r>
      <w:r>
        <w:rPr>
          <w:rFonts w:ascii="Times New Roman" w:cs="Times New Roman" w:hAnsi="Times New Roman"/>
          <w:bCs/>
          <w:sz w:val="20"/>
          <w:szCs w:val="20"/>
        </w:rPr>
        <w:t xml:space="preserve"> по 31 декабря </w:t>
      </w:r>
      <w:r>
        <w:rPr>
          <w:rFonts w:ascii="Times New Roman" w:cs="Times New Roman" w:hAnsi="Times New Roman"/>
          <w:b w:val="false"/>
          <w:bCs w:val="false"/>
          <w:sz w:val="20"/>
          <w:szCs w:val="20"/>
          <w:u w:val="single"/>
        </w:rPr>
        <w:t>20</w:t>
      </w:r>
      <w:r>
        <w:rPr>
          <w:rFonts w:ascii="Times New Roman" w:cs="Times New Roman" w:hAnsi="Times New Roman"/>
          <w:b w:val="false"/>
          <w:bCs w:val="false"/>
          <w:sz w:val="20"/>
          <w:szCs w:val="20"/>
          <w:u w:val="single"/>
        </w:rPr>
        <w:t>14</w:t>
      </w:r>
      <w:r>
        <w:rPr>
          <w:rFonts w:ascii="Times New Roman" w:cs="Times New Roman" w:hAnsi="Times New Roman"/>
          <w:bCs/>
          <w:sz w:val="20"/>
          <w:szCs w:val="20"/>
        </w:rPr>
        <w:t xml:space="preserve"> г.</w:t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/>
        <w:t xml:space="preserve">                                           </w:t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/>
      </w:r>
    </w:p>
    <w:tbl>
      <w:tblPr>
        <w:jc w:val="left"/>
        <w:tblInd w:type="dxa" w:w="-227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102"/>
          <w:left w:type="dxa" w:w="47"/>
          <w:bottom w:type="dxa" w:w="102"/>
          <w:right w:type="dxa" w:w="62"/>
        </w:tblCellMar>
      </w:tblPr>
      <w:tblGrid>
        <w:gridCol w:w="615"/>
        <w:gridCol w:w="1635"/>
        <w:gridCol w:w="1620"/>
        <w:gridCol w:w="4545"/>
        <w:gridCol w:w="3405"/>
        <w:gridCol w:w="1215"/>
        <w:gridCol w:w="1065"/>
        <w:gridCol w:w="1544"/>
      </w:tblGrid>
      <w:tr>
        <w:trPr>
          <w:cantSplit w:val="false"/>
        </w:trPr>
        <w:tc>
          <w:tcPr>
            <w:tcW w:type="dxa" w:w="61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bookmarkStart w:id="0" w:name="_GoBack"/>
            <w:bookmarkEnd w:id="0"/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N п/п</w:t>
            </w:r>
          </w:p>
        </w:tc>
        <w:tc>
          <w:tcPr>
            <w:tcW w:type="dxa" w:w="163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type="dxa" w:w="162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type="dxa" w:w="4545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type="dxa" w:w="3405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type="dxa" w:w="1215"/>
            <w:vMerge w:val="restart"/>
            <w:tcBorders>
              <w:top w:color="00000A" w:space="0" w:sz="4" w:val="single"/>
              <w:left w:color="00000A" w:space="0" w:sz="4" w:val="single"/>
              <w:bottom w:val="non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type="dxa" w:w="1065"/>
            <w:vMerge w:val="restart"/>
            <w:tcBorders>
              <w:top w:color="00000A" w:space="0" w:sz="4" w:val="single"/>
              <w:left w:color="00000A" w:space="0" w:sz="4" w:val="single"/>
              <w:bottom w:val="non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Декларированный годовой доход </w:t>
            </w:r>
            <w:hyperlink r:id="rId2">
              <w:r>
                <w:rPr>
                  <w:rStyle w:val="style16"/>
                  <w:rStyle w:val="style16"/>
                  <w:rFonts w:ascii="Times New Roman" w:cs="Times New Roman" w:hAnsi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type="dxa" w:w="1544"/>
            <w:vMerge w:val="restart"/>
            <w:tcBorders>
              <w:top w:color="00000A" w:space="0" w:sz="4" w:val="single"/>
              <w:left w:color="00000A" w:space="0" w:sz="4" w:val="single"/>
              <w:bottom w:val="non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3">
              <w:r>
                <w:rPr>
                  <w:rStyle w:val="style16"/>
                  <w:rStyle w:val="style16"/>
                  <w:rFonts w:ascii="Times New Roman" w:cs="Times New Roman" w:hAnsi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false"/>
        </w:trPr>
        <w:tc>
          <w:tcPr>
            <w:tcW w:type="dxa" w:w="61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bookmarkStart w:id="1" w:name="_GoBack1"/>
            <w:bookmarkStart w:id="2" w:name="_GoBack1"/>
            <w:bookmarkEnd w:id="2"/>
            <w:r>
              <w:rPr/>
            </w:r>
          </w:p>
        </w:tc>
        <w:tc>
          <w:tcPr>
            <w:tcW w:type="dxa" w:w="163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62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1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type="dxa" w:w="17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type="dxa" w:w="7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type="dxa" w:w="8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type="dxa" w:w="14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type="dxa" w:w="1215"/>
            <w:vMerge w:val="continue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065"/>
            <w:vMerge w:val="continue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544"/>
            <w:vMerge w:val="continue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sz w:val="20"/>
                <w:szCs w:val="20"/>
              </w:rPr>
              <w:t>Шушарина А.С.</w:t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Директор БУ СО «Комплексный центр социального обслуживания населения»</w:t>
            </w:r>
          </w:p>
        </w:tc>
        <w:tc>
          <w:tcPr>
            <w:tcW w:type="dxa" w:w="11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type="dxa" w:w="17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Долевая,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(1/3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доля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type="dxa" w:w="7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49,5</w:t>
            </w:r>
          </w:p>
        </w:tc>
        <w:tc>
          <w:tcPr>
            <w:tcW w:type="dxa" w:w="8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type="dxa" w:w="14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66,1</w:t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type="dxa" w:w="12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330394,89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</w:tr>
      <w:tr>
        <w:trPr>
          <w:trHeight w:hRule="atLeast" w:val="3037"/>
          <w:cantSplit w:val="false"/>
        </w:trPr>
        <w:tc>
          <w:tcPr>
            <w:tcW w:type="dxa" w:w="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/>
            </w:r>
          </w:p>
        </w:tc>
        <w:tc>
          <w:tcPr>
            <w:tcW w:type="dxa" w:w="11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type="dxa" w:w="17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Долевая ,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(1/3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доля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type="dxa" w:w="7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49,5</w:t>
            </w:r>
          </w:p>
        </w:tc>
        <w:tc>
          <w:tcPr>
            <w:tcW w:type="dxa" w:w="8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type="dxa" w:w="14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66,1</w:t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type="dxa" w:w="12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Сортиментовоз КС-53215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СПАЗ-8357</w:t>
            </w:r>
          </w:p>
        </w:tc>
        <w:tc>
          <w:tcPr>
            <w:tcW w:type="dxa" w:w="1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6000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/>
            </w:r>
          </w:p>
        </w:tc>
        <w:tc>
          <w:tcPr>
            <w:tcW w:type="dxa" w:w="11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type="dxa" w:w="17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Долевая 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½ доля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type="dxa" w:w="7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66,1</w:t>
            </w:r>
          </w:p>
        </w:tc>
        <w:tc>
          <w:tcPr>
            <w:tcW w:type="dxa" w:w="8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type="dxa" w:w="14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49,5</w:t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type="dxa" w:w="12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tabs>
                <w:tab w:leader="none" w:pos="3765" w:val="left"/>
              </w:tabs>
              <w:spacing w:after="0" w:before="0" w:line="100" w:lineRule="atLeast"/>
              <w:contextualSpacing w:val="false"/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lang w:eastAsia="ru-RU"/>
              </w:rPr>
              <w:t>Угловская Н.Ю.</w:t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tabs>
                <w:tab w:leader="none" w:pos="3765" w:val="left"/>
              </w:tabs>
              <w:spacing w:after="0" w:before="0" w:line="100" w:lineRule="atLeast"/>
              <w:contextualSpacing w:val="false"/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lang w:eastAsia="ru-RU"/>
              </w:rPr>
              <w:t>Директор БУ СО «Социальный приют для детей «Гармония»</w:t>
            </w:r>
          </w:p>
        </w:tc>
        <w:tc>
          <w:tcPr>
            <w:tcW w:type="dxa" w:w="11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type="dxa" w:w="17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Долевая (½ доля)</w:t>
            </w:r>
          </w:p>
        </w:tc>
        <w:tc>
          <w:tcPr>
            <w:tcW w:type="dxa" w:w="7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200,0</w:t>
            </w:r>
          </w:p>
        </w:tc>
        <w:tc>
          <w:tcPr>
            <w:tcW w:type="dxa" w:w="8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type="dxa" w:w="14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/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Ниссан-Альмера</w:t>
            </w:r>
          </w:p>
        </w:tc>
        <w:tc>
          <w:tcPr>
            <w:tcW w:type="dxa" w:w="1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429357,23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1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3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type="dxa" w:w="162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4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type="dxa" w:w="178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Долевая (½ доля)</w:t>
            </w:r>
          </w:p>
        </w:tc>
        <w:tc>
          <w:tcPr>
            <w:tcW w:type="dxa" w:w="75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200,0</w:t>
            </w:r>
          </w:p>
        </w:tc>
        <w:tc>
          <w:tcPr>
            <w:tcW w:type="dxa" w:w="87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type="dxa" w:w="142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1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6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298654,89</w:t>
            </w:r>
          </w:p>
        </w:tc>
        <w:tc>
          <w:tcPr>
            <w:tcW w:type="dxa" w:w="1544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693"/>
          <w:cantSplit w:val="false"/>
        </w:trPr>
        <w:tc>
          <w:tcPr>
            <w:tcW w:type="dxa" w:w="61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type="dxa" w:w="162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14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78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75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87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42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type="dxa" w:w="99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200,0</w:t>
            </w:r>
          </w:p>
        </w:tc>
        <w:tc>
          <w:tcPr>
            <w:tcW w:type="dxa" w:w="990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75"/>
              <w:left w:type="dxa" w:w="47"/>
              <w:bottom w:type="dxa" w:w="75"/>
              <w:right w:type="dxa" w:w="0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type="dxa" w:w="121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065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1544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</w:tr>
    </w:tbl>
    <w:p>
      <w:pPr>
        <w:pStyle w:val="style0"/>
        <w:widowControl/>
        <w:suppressAutoHyphens w:val="true"/>
        <w:spacing w:after="200" w:before="0" w:line="276" w:lineRule="auto"/>
        <w:contextualSpacing w:val="false"/>
      </w:pPr>
      <w:r>
        <w:rPr/>
      </w:r>
    </w:p>
    <w:sectPr>
      <w:type w:val="nextPage"/>
      <w:pgSz w:h="11906" w:orient="landscape" w:w="16838"/>
      <w:pgMar w:bottom="850" w:footer="0" w:gutter="0" w:header="0" w:left="1134" w:right="395" w:top="510"/>
      <w:pgNumType w:fmt="decimal"/>
      <w:formProt w:val="false"/>
      <w:textDirection w:val="lrTb"/>
      <w:docGrid w:charSpace="12288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Times New Roman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Lucida Sans Unicode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next w:val="style16"/>
    <w:rPr>
      <w:color w:val="000080"/>
      <w:u w:val="single"/>
      <w:lang w:bidi="zxx-" w:eastAsia="zxx-" w:val="zxx-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Содержимое таблицы"/>
    <w:basedOn w:val="style0"/>
    <w:next w:val="style22"/>
    <w:pPr/>
    <w:rPr/>
  </w:style>
  <w:style w:styleId="style23" w:type="paragraph">
    <w:name w:val="Заголовок таблицы"/>
    <w:basedOn w:val="style22"/>
    <w:next w:val="style2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D3FD692111935B48FF277CC9E4DF979589871903931635C1D7D75C1EA265DC1F286C8CBBC16B8BFGCB4M" TargetMode="External"/><Relationship Id="rId3" Type="http://schemas.openxmlformats.org/officeDocument/2006/relationships/hyperlink" Target="consultantplus://offline/ref=6D3FD692111935B48FF277CC9E4DF979589871903931635C1D7D75C1EA265DC1F286C8CBBC16B8BFGCB5M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2015-04-24T12:01:00.00Z</dcterms:created>
  <dc:creator>user</dc:creator>
  <cp:lastModifiedBy>user</cp:lastModifiedBy>
  <dcterms:modified xsi:type="dcterms:W3CDTF">2015-04-24T12:21:00.00Z</dcterms:modified>
  <cp:revision>2</cp:revision>
</cp:coreProperties>
</file>