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E21B2C">
        <w:trPr>
          <w:trHeight w:hRule="exact" w:val="500"/>
        </w:trPr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40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08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00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38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82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88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96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82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84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08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24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80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30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324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</w:tr>
      <w:tr w:rsidR="00E21B2C">
        <w:trPr>
          <w:trHeight w:hRule="exact" w:val="320"/>
        </w:trPr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1B2C" w:rsidRDefault="00DC0110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</w:tr>
      <w:tr w:rsidR="00E21B2C">
        <w:trPr>
          <w:trHeight w:hRule="exact" w:val="300"/>
        </w:trPr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1B2C" w:rsidRDefault="00DC0110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</w:tr>
      <w:tr w:rsidR="00E21B2C">
        <w:trPr>
          <w:trHeight w:hRule="exact" w:val="440"/>
        </w:trPr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1B2C" w:rsidRDefault="00DC0110">
            <w:pPr>
              <w:pStyle w:val="style1"/>
              <w:jc w:val="center"/>
            </w:pPr>
            <w:r>
              <w:rPr>
                <w:b/>
              </w:rPr>
              <w:t>Сектор по вопросам ЖКХ и перепланировок (Администрация Центрального района), Управление ЖКХ (Администрация Центрального района), Администрация Центрального района (территориальный орган мэрии), Мэрия городского округа Тольятти</w:t>
            </w:r>
          </w:p>
        </w:tc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</w:tr>
      <w:tr w:rsidR="00E21B2C">
        <w:trPr>
          <w:trHeight w:hRule="exact" w:val="440"/>
        </w:trPr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1B2C" w:rsidRDefault="00DC0110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</w:tr>
      <w:tr w:rsidR="00E21B2C">
        <w:trPr>
          <w:trHeight w:hRule="exact" w:val="1480"/>
        </w:trPr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F1023E" w:rsidRDefault="00DC0110">
            <w:pPr>
              <w:pStyle w:val="style1"/>
              <w:jc w:val="center"/>
              <w:rPr>
                <w:b/>
              </w:rPr>
            </w:pPr>
            <w:r w:rsidRPr="00F1023E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F1023E" w:rsidRDefault="00DC0110">
            <w:pPr>
              <w:pStyle w:val="style1"/>
              <w:jc w:val="center"/>
              <w:rPr>
                <w:b/>
              </w:rPr>
            </w:pPr>
            <w:r w:rsidRPr="00F1023E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21B2C" w:rsidRPr="00F1023E" w:rsidRDefault="00DC0110">
            <w:pPr>
              <w:pStyle w:val="style1"/>
              <w:jc w:val="center"/>
              <w:rPr>
                <w:b/>
              </w:rPr>
            </w:pPr>
            <w:r w:rsidRPr="00F1023E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F1023E" w:rsidRDefault="00DC0110">
            <w:pPr>
              <w:pStyle w:val="style1"/>
              <w:jc w:val="center"/>
              <w:rPr>
                <w:b/>
              </w:rPr>
            </w:pPr>
            <w:r w:rsidRPr="00F1023E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F1023E" w:rsidRDefault="00DC0110">
            <w:pPr>
              <w:pStyle w:val="style1"/>
              <w:jc w:val="center"/>
              <w:rPr>
                <w:b/>
              </w:rPr>
            </w:pPr>
            <w:r w:rsidRPr="00F1023E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F1023E" w:rsidRDefault="00DC0110">
            <w:pPr>
              <w:pStyle w:val="style1"/>
              <w:jc w:val="center"/>
              <w:rPr>
                <w:b/>
              </w:rPr>
            </w:pPr>
            <w:r w:rsidRPr="00F1023E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F1023E" w:rsidRDefault="00DC0110">
            <w:pPr>
              <w:pStyle w:val="style1"/>
              <w:jc w:val="center"/>
              <w:rPr>
                <w:b/>
              </w:rPr>
            </w:pPr>
            <w:r w:rsidRPr="00F1023E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</w:tr>
      <w:tr w:rsidR="00E21B2C" w:rsidTr="00F1023E">
        <w:trPr>
          <w:trHeight w:hRule="exact" w:val="911"/>
        </w:trPr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F1023E" w:rsidRDefault="00DC0110">
            <w:pPr>
              <w:pStyle w:val="style1"/>
              <w:jc w:val="center"/>
              <w:rPr>
                <w:b/>
              </w:rPr>
            </w:pPr>
            <w:r w:rsidRPr="00F1023E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F1023E" w:rsidRDefault="00DC0110">
            <w:pPr>
              <w:pStyle w:val="style1"/>
              <w:jc w:val="center"/>
              <w:rPr>
                <w:b/>
              </w:rPr>
            </w:pPr>
            <w:r w:rsidRPr="00F1023E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F1023E" w:rsidRDefault="00DC0110">
            <w:pPr>
              <w:pStyle w:val="style1"/>
              <w:jc w:val="center"/>
              <w:rPr>
                <w:b/>
              </w:rPr>
            </w:pPr>
            <w:r w:rsidRPr="00F1023E">
              <w:rPr>
                <w:b/>
              </w:rPr>
              <w:t>Площадь (кв</w:t>
            </w:r>
            <w:proofErr w:type="gramStart"/>
            <w:r w:rsidRPr="00F1023E">
              <w:rPr>
                <w:b/>
              </w:rPr>
              <w:t>.м</w:t>
            </w:r>
            <w:proofErr w:type="gramEnd"/>
            <w:r w:rsidRPr="00F1023E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F1023E" w:rsidRDefault="00DC0110">
            <w:pPr>
              <w:pStyle w:val="style1"/>
              <w:jc w:val="center"/>
              <w:rPr>
                <w:b/>
              </w:rPr>
            </w:pPr>
            <w:r w:rsidRPr="00F1023E">
              <w:rPr>
                <w:b/>
              </w:rPr>
              <w:t>Страна</w:t>
            </w:r>
            <w:r w:rsidRPr="00F1023E">
              <w:rPr>
                <w:b/>
              </w:rPr>
              <w:br/>
              <w:t>распол</w:t>
            </w:r>
            <w:proofErr w:type="gramStart"/>
            <w:r w:rsidRPr="00F1023E">
              <w:rPr>
                <w:b/>
              </w:rPr>
              <w:t>о-</w:t>
            </w:r>
            <w:proofErr w:type="gramEnd"/>
            <w:r w:rsidRPr="00F1023E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F1023E" w:rsidRDefault="00DC0110">
            <w:pPr>
              <w:pStyle w:val="style1"/>
              <w:jc w:val="center"/>
              <w:rPr>
                <w:b/>
              </w:rPr>
            </w:pPr>
            <w:r w:rsidRPr="00F1023E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F1023E" w:rsidRDefault="00DC0110">
            <w:pPr>
              <w:pStyle w:val="style1"/>
              <w:jc w:val="center"/>
              <w:rPr>
                <w:b/>
              </w:rPr>
            </w:pPr>
            <w:r w:rsidRPr="00F1023E">
              <w:rPr>
                <w:b/>
              </w:rPr>
              <w:t>Площадь (кв</w:t>
            </w:r>
            <w:proofErr w:type="gramStart"/>
            <w:r w:rsidRPr="00F1023E">
              <w:rPr>
                <w:b/>
              </w:rPr>
              <w:t>.м</w:t>
            </w:r>
            <w:proofErr w:type="gramEnd"/>
            <w:r w:rsidRPr="00F1023E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F1023E" w:rsidRDefault="00DC0110">
            <w:pPr>
              <w:pStyle w:val="style1"/>
              <w:jc w:val="center"/>
              <w:rPr>
                <w:b/>
              </w:rPr>
            </w:pPr>
            <w:r w:rsidRPr="00F1023E">
              <w:rPr>
                <w:b/>
              </w:rPr>
              <w:t>Страна</w:t>
            </w:r>
            <w:r w:rsidRPr="00F1023E">
              <w:rPr>
                <w:b/>
              </w:rPr>
              <w:br/>
              <w:t>распол</w:t>
            </w:r>
            <w:proofErr w:type="gramStart"/>
            <w:r w:rsidRPr="00F1023E">
              <w:rPr>
                <w:b/>
              </w:rPr>
              <w:t>о-</w:t>
            </w:r>
            <w:proofErr w:type="gramEnd"/>
            <w:r w:rsidRPr="00F1023E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F1023E" w:rsidRDefault="00DC0110">
            <w:pPr>
              <w:pStyle w:val="style1"/>
              <w:jc w:val="center"/>
              <w:rPr>
                <w:b/>
              </w:rPr>
            </w:pPr>
            <w:r w:rsidRPr="00F1023E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F1023E" w:rsidRDefault="00DC0110">
            <w:pPr>
              <w:pStyle w:val="style1"/>
              <w:jc w:val="center"/>
              <w:rPr>
                <w:b/>
              </w:rPr>
            </w:pPr>
            <w:r w:rsidRPr="00F1023E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EMPTYCELLSTYLE"/>
            </w:pPr>
          </w:p>
        </w:tc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</w:tr>
      <w:tr w:rsidR="00E21B2C" w:rsidTr="00FB1308">
        <w:trPr>
          <w:trHeight w:hRule="exact" w:val="1372"/>
        </w:trPr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E21B2C" w:rsidRDefault="00DC0110">
            <w:pPr>
              <w:pStyle w:val="style1"/>
            </w:pPr>
            <w:r>
              <w:t>Говоров Алексей Валериевич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E21B2C" w:rsidRDefault="00DC0110">
            <w:pPr>
              <w:pStyle w:val="style1"/>
              <w:jc w:val="center"/>
            </w:pPr>
            <w:r>
              <w:t>Заведующий сектором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DC0110">
            <w:pPr>
              <w:pStyle w:val="style1"/>
            </w:pPr>
            <w:r>
              <w:t>Квартира 3-х комнатная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DC0110">
            <w:pPr>
              <w:pStyle w:val="style1"/>
            </w:pPr>
            <w:r>
              <w:t>Общая</w:t>
            </w:r>
            <w:r w:rsidR="00FB1308">
              <w:t xml:space="preserve"> совместная </w:t>
            </w:r>
          </w:p>
          <w:p w:rsidR="00FB1308" w:rsidRDefault="00FB1308">
            <w:pPr>
              <w:pStyle w:val="style1"/>
            </w:pPr>
            <w:r>
              <w:t xml:space="preserve">(с супругой Говоровой В.Н.)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E21B2C" w:rsidRDefault="00DC0110">
            <w:pPr>
              <w:pStyle w:val="style1"/>
              <w:jc w:val="center"/>
            </w:pPr>
            <w:r>
              <w:t>65,20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DC0110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E21B2C" w:rsidRDefault="00E21B2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DC0110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DC0110">
            <w:pPr>
              <w:pStyle w:val="style1"/>
            </w:pPr>
            <w:r>
              <w:t>Lada kalina 111730 2011 года выпуска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DC0110">
            <w:pPr>
              <w:pStyle w:val="style1"/>
            </w:pPr>
            <w:r>
              <w:t>358 297,52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</w:tr>
      <w:tr w:rsidR="00E21B2C">
        <w:trPr>
          <w:trHeight w:hRule="exact" w:val="720"/>
        </w:trPr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1B2C" w:rsidRDefault="00E21B2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1B2C" w:rsidRDefault="00E21B2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DC0110">
            <w:pPr>
              <w:pStyle w:val="style1"/>
            </w:pPr>
            <w:r>
              <w:t>квартира 3-х комнатная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DC0110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E21B2C" w:rsidRDefault="00DC0110">
            <w:pPr>
              <w:pStyle w:val="style1"/>
              <w:jc w:val="center"/>
            </w:pPr>
            <w:r>
              <w:t>65,20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DC0110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E21B2C" w:rsidRDefault="00E21B2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</w:tr>
      <w:tr w:rsidR="00E21B2C" w:rsidTr="00FB1308">
        <w:trPr>
          <w:trHeight w:hRule="exact" w:val="1190"/>
        </w:trPr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E21B2C" w:rsidRDefault="00D15CEB">
            <w:pPr>
              <w:pStyle w:val="style1"/>
            </w:pPr>
            <w:r>
              <w:t>Супруга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E21B2C" w:rsidRDefault="00E21B2C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DC0110">
            <w:pPr>
              <w:pStyle w:val="style1"/>
            </w:pPr>
            <w:r>
              <w:t>квартира 3-х комнатная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B1308" w:rsidRDefault="00FB1308" w:rsidP="00FB1308">
            <w:pPr>
              <w:pStyle w:val="style1"/>
            </w:pPr>
            <w:r>
              <w:t xml:space="preserve">Общая совместная </w:t>
            </w:r>
          </w:p>
          <w:p w:rsidR="00E21B2C" w:rsidRDefault="00FB1308" w:rsidP="00FB1308">
            <w:pPr>
              <w:pStyle w:val="style1"/>
            </w:pPr>
            <w:r>
              <w:t>(с супругой Говоровой В.Н.)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E21B2C" w:rsidRDefault="00DC0110">
            <w:pPr>
              <w:pStyle w:val="style1"/>
              <w:jc w:val="center"/>
            </w:pPr>
            <w:r>
              <w:t>65,20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DC0110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E21B2C" w:rsidRDefault="00E21B2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DC0110">
            <w:pPr>
              <w:pStyle w:val="style1"/>
            </w:pPr>
            <w:r>
              <w:t>374 344,70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</w:tr>
      <w:tr w:rsidR="00E21B2C">
        <w:trPr>
          <w:trHeight w:hRule="exact" w:val="720"/>
        </w:trPr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1B2C" w:rsidRDefault="00E21B2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1B2C" w:rsidRDefault="00E21B2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DC0110">
            <w:pPr>
              <w:pStyle w:val="style1"/>
            </w:pPr>
            <w:r>
              <w:t>квартира 3-х комнатная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DC0110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E21B2C" w:rsidRDefault="00DC0110">
            <w:pPr>
              <w:pStyle w:val="style1"/>
              <w:jc w:val="center"/>
            </w:pPr>
            <w:r>
              <w:t>65,20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DC0110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E21B2C" w:rsidRDefault="00E21B2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</w:tr>
      <w:tr w:rsidR="00E21B2C" w:rsidTr="00D15CEB">
        <w:trPr>
          <w:trHeight w:hRule="exact" w:val="623"/>
        </w:trPr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E21B2C" w:rsidRDefault="00D15CEB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E21B2C" w:rsidRDefault="00E21B2C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E21B2C" w:rsidRDefault="00E21B2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DC0110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E21B2C" w:rsidRDefault="00DC0110">
            <w:pPr>
              <w:pStyle w:val="style1"/>
              <w:jc w:val="center"/>
            </w:pPr>
            <w:r>
              <w:t>65,20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DC0110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DC0110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</w:tr>
      <w:tr w:rsidR="00E21B2C" w:rsidTr="00D15CEB">
        <w:trPr>
          <w:trHeight w:hRule="exact" w:val="519"/>
        </w:trPr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E21B2C" w:rsidRDefault="00D15CEB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E21B2C" w:rsidRDefault="00E21B2C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E21B2C" w:rsidRDefault="00E21B2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DC0110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E21B2C" w:rsidRDefault="00DC0110">
            <w:pPr>
              <w:pStyle w:val="style1"/>
              <w:jc w:val="center"/>
            </w:pPr>
            <w:r>
              <w:t>65,20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DC0110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DC0110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</w:tr>
      <w:tr w:rsidR="00E21B2C">
        <w:trPr>
          <w:trHeight w:hRule="exact" w:val="20"/>
        </w:trPr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style1"/>
              <w:jc w:val="center"/>
            </w:pPr>
          </w:p>
        </w:tc>
        <w:tc>
          <w:tcPr>
            <w:tcW w:w="80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30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324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500" w:type="dxa"/>
          </w:tcPr>
          <w:p w:rsidR="00E21B2C" w:rsidRDefault="00E21B2C">
            <w:pPr>
              <w:pStyle w:val="EMPTYCELLSTYLE"/>
            </w:pPr>
          </w:p>
        </w:tc>
      </w:tr>
    </w:tbl>
    <w:p w:rsidR="00DC0110" w:rsidRDefault="00DC0110"/>
    <w:sectPr w:rsidR="00DC0110" w:rsidSect="00E21B2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E21B2C"/>
    <w:rsid w:val="005F7222"/>
    <w:rsid w:val="006605E9"/>
    <w:rsid w:val="00D15CEB"/>
    <w:rsid w:val="00DC0110"/>
    <w:rsid w:val="00E21B2C"/>
    <w:rsid w:val="00F1023E"/>
    <w:rsid w:val="00FB1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E21B2C"/>
    <w:rPr>
      <w:sz w:val="1"/>
    </w:rPr>
  </w:style>
  <w:style w:type="paragraph" w:customStyle="1" w:styleId="style1">
    <w:name w:val="style1"/>
    <w:qFormat/>
    <w:rsid w:val="00E21B2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3</cp:revision>
  <cp:lastPrinted>2016-04-28T05:47:00Z</cp:lastPrinted>
  <dcterms:created xsi:type="dcterms:W3CDTF">2016-05-12T10:49:00Z</dcterms:created>
  <dcterms:modified xsi:type="dcterms:W3CDTF">2016-05-16T11:01:00Z</dcterms:modified>
</cp:coreProperties>
</file>