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82C2E" w:rsidRDefault="00082C2E" w:rsidP="00082C2E">
      <w:pPr>
        <w:ind w:firstLine="709"/>
        <w:jc w:val="center"/>
      </w:pPr>
      <w:r w:rsidRPr="00250E02">
        <w:rPr>
          <w:b/>
        </w:rPr>
        <w:t>кандидата в депутаты Государственной Думы Федерального Собрания Российской Федерации седьмого созыва</w:t>
      </w:r>
      <w:r>
        <w:t xml:space="preserve"> </w:t>
      </w:r>
      <w:r>
        <w:rPr>
          <w:b/>
        </w:rPr>
        <w:t>Дмитриенко Василия Васильевича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421"/>
        <w:gridCol w:w="1056"/>
        <w:gridCol w:w="941"/>
        <w:gridCol w:w="942"/>
        <w:gridCol w:w="1121"/>
        <w:gridCol w:w="942"/>
        <w:gridCol w:w="941"/>
        <w:gridCol w:w="1099"/>
        <w:gridCol w:w="6"/>
        <w:gridCol w:w="1048"/>
        <w:gridCol w:w="1693"/>
        <w:gridCol w:w="1058"/>
        <w:gridCol w:w="976"/>
        <w:gridCol w:w="1156"/>
      </w:tblGrid>
      <w:tr w:rsidR="00082C2E" w:rsidTr="00082C2E">
        <w:trPr>
          <w:jc w:val="center"/>
        </w:trPr>
        <w:tc>
          <w:tcPr>
            <w:tcW w:w="142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Фамилия, имя, отчество</w:t>
            </w:r>
          </w:p>
        </w:tc>
        <w:tc>
          <w:tcPr>
            <w:tcW w:w="105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2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082C2E" w:rsidTr="00082C2E">
        <w:trPr>
          <w:jc w:val="center"/>
        </w:trPr>
        <w:tc>
          <w:tcPr>
            <w:tcW w:w="142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598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Недвижимое имущество</w:t>
            </w:r>
          </w:p>
        </w:tc>
        <w:tc>
          <w:tcPr>
            <w:tcW w:w="105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90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Иное имущество</w:t>
            </w:r>
          </w:p>
        </w:tc>
      </w:tr>
      <w:tr w:rsidR="00082C2E" w:rsidTr="00082C2E">
        <w:trPr>
          <w:jc w:val="center"/>
        </w:trPr>
        <w:tc>
          <w:tcPr>
            <w:tcW w:w="142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59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203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Ценные бумаги</w:t>
            </w:r>
          </w:p>
        </w:tc>
        <w:tc>
          <w:tcPr>
            <w:tcW w:w="115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82C2E" w:rsidTr="00082C2E">
        <w:trPr>
          <w:jc w:val="center"/>
        </w:trPr>
        <w:tc>
          <w:tcPr>
            <w:tcW w:w="142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59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Акции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Иные ценные бумаги</w:t>
            </w:r>
          </w:p>
        </w:tc>
        <w:tc>
          <w:tcPr>
            <w:tcW w:w="115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</w:tr>
      <w:tr w:rsidR="00082C2E" w:rsidTr="00082C2E">
        <w:trPr>
          <w:jc w:val="center"/>
        </w:trPr>
        <w:tc>
          <w:tcPr>
            <w:tcW w:w="142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Земельные участки</w:t>
            </w:r>
          </w:p>
        </w:tc>
        <w:tc>
          <w:tcPr>
            <w:tcW w:w="9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Жилые дома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Квартиры</w:t>
            </w:r>
          </w:p>
        </w:tc>
        <w:tc>
          <w:tcPr>
            <w:tcW w:w="9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Дачи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Гаражи</w:t>
            </w:r>
          </w:p>
        </w:tc>
        <w:tc>
          <w:tcPr>
            <w:tcW w:w="110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 w:rsidP="00EA7399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 w:rsidP="00EA7399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5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 w:rsidP="00EA7399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082C2E" w:rsidTr="00082C2E">
        <w:trPr>
          <w:jc w:val="center"/>
        </w:trPr>
        <w:tc>
          <w:tcPr>
            <w:tcW w:w="142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Место нахождения (адрес), общая площадь</w:t>
            </w:r>
          </w:p>
          <w:p w:rsidR="00082C2E" w:rsidRDefault="00082C2E">
            <w:pPr>
              <w:pStyle w:val="a8"/>
            </w:pPr>
            <w:r>
              <w:t>(кв. м)</w:t>
            </w:r>
          </w:p>
        </w:tc>
        <w:tc>
          <w:tcPr>
            <w:tcW w:w="9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Место нахождения (адрес), общая площадь</w:t>
            </w:r>
          </w:p>
          <w:p w:rsidR="00082C2E" w:rsidRDefault="00082C2E">
            <w:pPr>
              <w:pStyle w:val="a8"/>
            </w:pPr>
            <w:r>
              <w:t>(кв. м)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Место нахождения (адрес), общая площадь</w:t>
            </w:r>
          </w:p>
          <w:p w:rsidR="00082C2E" w:rsidRDefault="00082C2E">
            <w:pPr>
              <w:pStyle w:val="a8"/>
            </w:pPr>
            <w:r>
              <w:t>(кв. м)</w:t>
            </w:r>
          </w:p>
        </w:tc>
        <w:tc>
          <w:tcPr>
            <w:tcW w:w="9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Место нахождения (адрес), общая площадь</w:t>
            </w:r>
          </w:p>
          <w:p w:rsidR="00082C2E" w:rsidRDefault="00082C2E">
            <w:pPr>
              <w:pStyle w:val="a8"/>
            </w:pPr>
            <w:r>
              <w:t>(кв. м)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Место нахождения (адрес), общая площадь</w:t>
            </w:r>
          </w:p>
          <w:p w:rsidR="00082C2E" w:rsidRDefault="00082C2E">
            <w:pPr>
              <w:pStyle w:val="a8"/>
            </w:pPr>
            <w:r>
              <w:t>(кв. м)</w:t>
            </w:r>
          </w:p>
        </w:tc>
        <w:tc>
          <w:tcPr>
            <w:tcW w:w="110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82C2E" w:rsidRDefault="00082C2E">
            <w:pPr>
              <w:pStyle w:val="a8"/>
            </w:pPr>
            <w:r>
              <w:t>(кв. м)</w:t>
            </w:r>
          </w:p>
        </w:tc>
        <w:tc>
          <w:tcPr>
            <w:tcW w:w="104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9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  <w:tc>
          <w:tcPr>
            <w:tcW w:w="115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pStyle w:val="a8"/>
            </w:pPr>
          </w:p>
        </w:tc>
      </w:tr>
      <w:tr w:rsidR="00082C2E" w:rsidTr="00082C2E">
        <w:trPr>
          <w:jc w:val="center"/>
        </w:trPr>
        <w:tc>
          <w:tcPr>
            <w:tcW w:w="14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 w:rsidP="00082C2E">
            <w:pPr>
              <w:jc w:val="center"/>
            </w:pPr>
            <w:r>
              <w:rPr>
                <w:sz w:val="16"/>
              </w:rPr>
              <w:t>Дмитриенко Василий Васильевич</w:t>
            </w: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left"/>
            </w:pPr>
            <w:r>
              <w:rPr>
                <w:sz w:val="16"/>
              </w:rPr>
              <w:t xml:space="preserve">1) денежная компенсация, КГКУ "Центр социальной поддержки населения по г. Хабаровску", 26 142.85 руб.;  2) пенсия, УПФР в г. Хабаровске и Хабаровском районе Хабаровского края, 124 473.30 руб.;  3) социальные </w:t>
            </w:r>
            <w:r>
              <w:rPr>
                <w:sz w:val="16"/>
              </w:rPr>
              <w:lastRenderedPageBreak/>
              <w:t>пособия, Филиал № 7 ГУ-Хабаровского регионального отделения Фонда социального страхования РФ, 33 652.48 руб.;  4) сдача имущества в аренду, Воронин Егор Валерьевич, 90 000.00 руб.;  5) сдача имущества в аренду, Шакунов Валерий Сергеевич, 90 000.00 руб.;  6) дивиденды (доход от ценных бумаг), ОАО "Хабаровская компания по иностранному туризму и коммерции "Интур-Хабаровск", 3.80 руб.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 w:rsidP="00A273A9">
            <w:pPr>
              <w:jc w:val="left"/>
            </w:pPr>
            <w:r>
              <w:rPr>
                <w:sz w:val="16"/>
              </w:rPr>
              <w:t xml:space="preserve">1) Хабаровский край, 30.2 кв.м;  2) Хабаровский край, 68.4 кв.м, </w:t>
            </w:r>
          </w:p>
        </w:tc>
        <w:tc>
          <w:tcPr>
            <w:tcW w:w="9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7399" w:rsidRDefault="00EA7399" w:rsidP="00EA7399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 банковский счет</w:t>
            </w:r>
          </w:p>
          <w:p w:rsidR="00EA7399" w:rsidRDefault="00EA7399" w:rsidP="00EA7399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8083,23 руб.</w:t>
            </w:r>
          </w:p>
          <w:p w:rsidR="00082C2E" w:rsidRDefault="00082C2E" w:rsidP="00082C2E">
            <w:pPr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7399" w:rsidRDefault="00082C2E" w:rsidP="00EA7399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  открытое акционерное общество "Хабаровская компания по иностранному туризму и коммерции "Интур-Хабаровск",  16 шт., номинальная стоимость </w:t>
            </w:r>
          </w:p>
          <w:p w:rsidR="00082C2E" w:rsidRDefault="00082C2E" w:rsidP="00EA7399">
            <w:pPr>
              <w:jc w:val="center"/>
            </w:pPr>
            <w:r>
              <w:rPr>
                <w:sz w:val="16"/>
              </w:rPr>
              <w:t>0.1 руб.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82C2E" w:rsidRDefault="00082C2E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sectPr w:rsidR="000A1EA5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1EA5"/>
    <w:rsid w:val="00082C2E"/>
    <w:rsid w:val="000A1EA5"/>
    <w:rsid w:val="000B3C9F"/>
    <w:rsid w:val="003223FA"/>
    <w:rsid w:val="003B3856"/>
    <w:rsid w:val="003C6A7A"/>
    <w:rsid w:val="006852B6"/>
    <w:rsid w:val="00733A83"/>
    <w:rsid w:val="008D393E"/>
    <w:rsid w:val="0098758D"/>
    <w:rsid w:val="00A273A9"/>
    <w:rsid w:val="00AD22FF"/>
    <w:rsid w:val="00AF558E"/>
    <w:rsid w:val="00AF587F"/>
    <w:rsid w:val="00EA7399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2016-07-28T02:13:00Z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