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3D" w:rsidRPr="00147979" w:rsidRDefault="00F6083D" w:rsidP="00F6083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</w:t>
      </w:r>
      <w:r w:rsidRPr="00147979">
        <w:rPr>
          <w:rFonts w:ascii="Times New Roman" w:hAnsi="Times New Roman" w:cs="Times New Roman"/>
          <w:b/>
          <w:bCs/>
          <w:sz w:val="20"/>
          <w:szCs w:val="20"/>
        </w:rPr>
        <w:t>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F6083D" w:rsidRDefault="00F6083D" w:rsidP="00F6083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Выборы депутатов Государственной Думы Федерального Собрания Российской Федерации седьмого созыва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18 сентября 2016 года</w:t>
      </w:r>
    </w:p>
    <w:p w:rsidR="00F6083D" w:rsidRDefault="00F6083D" w:rsidP="00F6083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Чеченский Республика – Чеченский одномандатный избирательный округ №36</w:t>
      </w:r>
      <w:r w:rsidRPr="001479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C3817" w:rsidRDefault="00F6083D" w:rsidP="00F6083D">
      <w:pPr>
        <w:jc w:val="center"/>
      </w:pPr>
      <w:r w:rsidRPr="00F6083D">
        <w:rPr>
          <w:rFonts w:ascii="Times New Roman" w:hAnsi="Times New Roman" w:cs="Times New Roman"/>
          <w:b/>
          <w:bCs/>
          <w:sz w:val="20"/>
          <w:szCs w:val="20"/>
        </w:rPr>
        <w:t>Политическая партия СПРАВЕДЛИВАЯ РОССИЯ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337"/>
        <w:gridCol w:w="1693"/>
        <w:gridCol w:w="1214"/>
        <w:gridCol w:w="887"/>
        <w:gridCol w:w="1162"/>
        <w:gridCol w:w="682"/>
        <w:gridCol w:w="915"/>
        <w:gridCol w:w="1330"/>
        <w:gridCol w:w="1550"/>
        <w:gridCol w:w="1555"/>
        <w:gridCol w:w="1555"/>
        <w:gridCol w:w="1453"/>
        <w:gridCol w:w="1555"/>
      </w:tblGrid>
      <w:tr w:rsidR="00F6083D" w:rsidRPr="00F6083D" w:rsidTr="00F6083D">
        <w:trPr>
          <w:trHeight w:val="510"/>
          <w:jc w:val="center"/>
        </w:trPr>
        <w:tc>
          <w:tcPr>
            <w:tcW w:w="503" w:type="dxa"/>
            <w:vMerge w:val="restart"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 w:colFirst="1" w:colLast="13"/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337" w:type="dxa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1693" w:type="dxa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6190" w:type="dxa"/>
            <w:gridSpan w:val="6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550" w:type="dxa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55" w:type="dxa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Денежные средства, находящиеся на счетах в банках</w:t>
            </w:r>
          </w:p>
        </w:tc>
        <w:tc>
          <w:tcPr>
            <w:tcW w:w="4563" w:type="dxa"/>
            <w:gridSpan w:val="3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капитале коммерческих организаций</w:t>
            </w:r>
          </w:p>
        </w:tc>
      </w:tr>
      <w:tr w:rsidR="00F6083D" w:rsidRPr="00F6083D" w:rsidTr="00F6083D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3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6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8" w:type="dxa"/>
            <w:gridSpan w:val="2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Ценные бумаги</w:t>
            </w:r>
          </w:p>
        </w:tc>
        <w:tc>
          <w:tcPr>
            <w:tcW w:w="1555" w:type="dxa"/>
            <w:vMerge w:val="restart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участие в коммерческих организациях</w:t>
            </w:r>
          </w:p>
        </w:tc>
      </w:tr>
      <w:tr w:rsidR="00F6083D" w:rsidRPr="00F6083D" w:rsidTr="00F6083D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3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6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Акции</w:t>
            </w:r>
          </w:p>
        </w:tc>
        <w:tc>
          <w:tcPr>
            <w:tcW w:w="1453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ценные бумаги</w:t>
            </w:r>
          </w:p>
        </w:tc>
        <w:tc>
          <w:tcPr>
            <w:tcW w:w="1555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83D" w:rsidRPr="00F6083D" w:rsidTr="00F6083D">
        <w:trPr>
          <w:trHeight w:val="780"/>
          <w:jc w:val="center"/>
        </w:trPr>
        <w:tc>
          <w:tcPr>
            <w:tcW w:w="503" w:type="dxa"/>
            <w:vMerge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3" w:type="dxa"/>
            <w:vMerge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14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участки (кв. м)</w:t>
            </w:r>
          </w:p>
        </w:tc>
        <w:tc>
          <w:tcPr>
            <w:tcW w:w="887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Жилые дома (кв. м)</w:t>
            </w:r>
          </w:p>
        </w:tc>
        <w:tc>
          <w:tcPr>
            <w:tcW w:w="1162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Квартиры (кв. м)</w:t>
            </w:r>
          </w:p>
        </w:tc>
        <w:tc>
          <w:tcPr>
            <w:tcW w:w="682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Дачи (кв. м)</w:t>
            </w:r>
          </w:p>
        </w:tc>
        <w:tc>
          <w:tcPr>
            <w:tcW w:w="915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Гаражи (кв. м)</w:t>
            </w:r>
          </w:p>
        </w:tc>
        <w:tc>
          <w:tcPr>
            <w:tcW w:w="1330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недвижимое имущество (кв. м)</w:t>
            </w:r>
          </w:p>
        </w:tc>
        <w:tc>
          <w:tcPr>
            <w:tcW w:w="1550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марка, модель, год выпуска</w:t>
            </w:r>
          </w:p>
        </w:tc>
        <w:tc>
          <w:tcPr>
            <w:tcW w:w="1555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банка, остаток счета (руб.)</w:t>
            </w:r>
          </w:p>
        </w:tc>
        <w:tc>
          <w:tcPr>
            <w:tcW w:w="1555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453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555" w:type="dxa"/>
            <w:hideMark/>
          </w:tcPr>
          <w:p w:rsidR="00F6083D" w:rsidRPr="00F6083D" w:rsidRDefault="00F6083D" w:rsidP="004373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доля участия</w:t>
            </w:r>
          </w:p>
        </w:tc>
      </w:tr>
      <w:bookmarkEnd w:id="0"/>
      <w:tr w:rsidR="00F6083D" w:rsidRPr="00F6083D" w:rsidTr="00F6083D">
        <w:trPr>
          <w:trHeight w:val="264"/>
          <w:jc w:val="center"/>
        </w:trPr>
        <w:tc>
          <w:tcPr>
            <w:tcW w:w="503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7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93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4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2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2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15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0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0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3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F6083D" w:rsidRPr="00F6083D" w:rsidTr="00F6083D">
        <w:trPr>
          <w:trHeight w:val="828"/>
          <w:jc w:val="center"/>
        </w:trPr>
        <w:tc>
          <w:tcPr>
            <w:tcW w:w="503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37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Денильханов Исмаил Султанович</w:t>
            </w:r>
          </w:p>
        </w:tc>
        <w:tc>
          <w:tcPr>
            <w:tcW w:w="1693" w:type="dxa"/>
            <w:hideMark/>
          </w:tcPr>
          <w:p w:rsidR="00F6083D" w:rsidRPr="00F6083D" w:rsidRDefault="00F6083D" w:rsidP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 xml:space="preserve">1. Чеченский государственный университет; </w:t>
            </w:r>
            <w:r w:rsidRPr="00F6083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6083D">
              <w:rPr>
                <w:rFonts w:ascii="Times New Roman" w:hAnsi="Times New Roman" w:cs="Times New Roman"/>
                <w:sz w:val="20"/>
                <w:szCs w:val="20"/>
              </w:rPr>
              <w:br/>
              <w:t>Общая сумма доходов: 127423,48 руб.</w:t>
            </w:r>
          </w:p>
        </w:tc>
        <w:tc>
          <w:tcPr>
            <w:tcW w:w="1214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7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1. автомобиль легковой, LADA PRIORA 217030 (2012 г.)</w:t>
            </w:r>
          </w:p>
        </w:tc>
        <w:tc>
          <w:tcPr>
            <w:tcW w:w="1555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3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F6083D" w:rsidRPr="00F6083D" w:rsidRDefault="00F60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6083D" w:rsidRDefault="00F6083D"/>
    <w:p w:rsidR="00F6083D" w:rsidRDefault="00F6083D"/>
    <w:sectPr w:rsidR="00F6083D" w:rsidSect="00F6083D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3D"/>
    <w:rsid w:val="0043735F"/>
    <w:rsid w:val="006C3817"/>
    <w:rsid w:val="00F6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F33EC-629B-4E9C-B4A9-3A08409A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Мехти</dc:creator>
  <cp:keywords/>
  <dc:description/>
  <cp:lastModifiedBy>Мехти</cp:lastModifiedBy>
  <cp:revision>2</cp:revision>
  <dcterms:created xsi:type="dcterms:W3CDTF">2016-08-19T13:20:00Z</dcterms:created>
  <dcterms:modified xsi:type="dcterms:W3CDTF">2016-08-19T13:25:00Z</dcterms:modified>
</cp:coreProperties>
</file>