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1B2F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Ивлева Татьяна Владимировна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1B2F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музея «Мемориал Победы»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551B2F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445 461,34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1B2F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1B2F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19,18</w:t>
            </w:r>
            <w:bookmarkStart w:id="0" w:name="_GoBack"/>
            <w:bookmarkEnd w:id="0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1B2F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1B2F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551B2F" w:rsidRDefault="00551B2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1B2F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1B2F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51B2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5F7B5E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5A8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(дочь)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551B2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8605A8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551B2F">
        <w:rPr>
          <w:sz w:val="24"/>
          <w:szCs w:val="24"/>
        </w:rPr>
        <w:t>Ивлева Татьяна Владимировна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51B2F">
        <w:rPr>
          <w:sz w:val="24"/>
          <w:szCs w:val="24"/>
        </w:rPr>
        <w:t>Ивлева Т.В.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1B2F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EEEEC4-8069-4980-920F-D09F8F69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Saturn-PC</cp:lastModifiedBy>
  <cp:revision>3</cp:revision>
  <cp:lastPrinted>2015-04-07T04:05:00Z</cp:lastPrinted>
  <dcterms:created xsi:type="dcterms:W3CDTF">2017-05-11T05:23:00Z</dcterms:created>
  <dcterms:modified xsi:type="dcterms:W3CDTF">2017-05-11T08:32:00Z</dcterms:modified>
</cp:coreProperties>
</file>